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800"/>
      </w:pPr>
      <w:r>
        <w:rPr>
          <w:rFonts w:ascii="Calibri" w:cs="Calibri" w:eastAsia="Calibri" w:hAnsi="Calibri"/>
          <w:b/>
          <w:bCs/>
          <w:color w:val="115CFA"/>
          <w:sz w:val="18"/>
          <w:szCs w:val="18"/>
        </w:rPr>
        <w:t xml:space="preserve">TRAME DE CAHIER DES CLAUSES TECHNIQUES PARTICULIÈRES</w:t>
      </w:r>
    </w:p>
    <w:p>
      <w:pPr>
        <w:spacing w:after="200" w:before="200"/>
      </w:pPr>
      <w:r>
        <w:rPr>
          <w:rFonts w:ascii="Calibri" w:cs="Calibri" w:eastAsia="Calibri" w:hAnsi="Calibri"/>
          <w:b/>
          <w:bCs/>
          <w:color w:val="262828"/>
          <w:sz w:val="52"/>
          <w:szCs w:val="52"/>
        </w:rPr>
        <w:t xml:space="preserve">Équipement RFID d'une bibliothèque</w:t>
      </w:r>
    </w:p>
    <w:p>
      <w:pPr>
        <w:spacing w:after="120" w:line="276"/>
      </w:pPr>
      <w:r>
        <w:rPr>
          <w:rFonts w:ascii="Calibri" w:cs="Calibri" w:eastAsia="Calibri" w:hAnsi="Calibri"/>
          <w:color w:val="707171"/>
          <w:sz w:val="24"/>
          <w:szCs w:val="24"/>
        </w:rPr>
        <w:t xml:space="preserve">Automates de prêt, retour en libre-service, tri automatique, sécurisation des sorties, récolement mobile, poste de travail et équipement des collections.</w:t>
      </w:r>
    </w:p>
    <w:p>
      <w:pPr>
        <w:spacing w:after="600" w:line="276"/>
      </w:pPr>
      <w:r>
        <w:rPr>
          <w:rFonts w:ascii="Calibri" w:cs="Calibri" w:eastAsia="Calibri" w:hAnsi="Calibri"/>
          <w:color w:val="707171"/>
          <w:sz w:val="19"/>
          <w:szCs w:val="19"/>
        </w:rPr>
        <w:t xml:space="preserve">Version de septembre 2026. Document à adapter, non contractuel.</w:t>
      </w:r>
    </w:p>
    <w:p>
      <w:pPr>
        <w:spacing w:after="120" w:line="276"/>
      </w:pPr>
      <w:r>
        <w:rPr>
          <w:rFonts w:ascii="Calibri" w:cs="Calibri" w:eastAsia="Calibri" w:hAnsi="Calibri"/>
          <w:color w:val="707171"/>
          <w:sz w:val="19"/>
          <w:szCs w:val="19"/>
        </w:rPr>
        <w:t xml:space="preserve">Publié par bibliotheque-rfid.com, opéré par CIPAM, distributeur et intégrateur des solutions Lyngsoe Systems Library Solutions pour la France et le Benelux. 04 73 26 95 16.</w:t>
      </w:r>
    </w:p>
    <w:p>
      <w:r>
        <w:br w:type="page"/>
      </w:r>
    </w:p>
    <w:p>
      <w:pPr>
        <w:pStyle w:val="Heading1"/>
        <w:spacing w:after="160" w:before="360"/>
      </w:pPr>
      <w:r>
        <w:rPr>
          <w:rFonts w:ascii="Calibri" w:cs="Calibri" w:eastAsia="Calibri" w:hAnsi="Calibri"/>
          <w:b/>
          <w:bCs/>
          <w:color w:val="262828"/>
          <w:sz w:val="30"/>
          <w:szCs w:val="30"/>
        </w:rPr>
        <w:t xml:space="preserve">Comment se servir de cette trame</w:t>
      </w:r>
    </w:p>
    <w:p>
      <w:pPr>
        <w:spacing w:after="120" w:line="276"/>
      </w:pPr>
      <w:r>
        <w:rPr>
          <w:rFonts w:ascii="Calibri" w:cs="Calibri" w:eastAsia="Calibri" w:hAnsi="Calibri"/>
          <w:color w:val="262828"/>
          <w:sz w:val="21"/>
          <w:szCs w:val="21"/>
        </w:rPr>
        <w:t xml:space="preserve">Ce document n'est pas un cahier des charges prêt à publier. C'est une trame : elle propose des formulations fonctionnelles, éprouvées en consultation, que vous adaptez à votre établissement.</w:t>
      </w:r>
    </w:p>
    <w:p>
      <w:pPr>
        <w:spacing w:after="120" w:line="276"/>
      </w:pPr>
      <w:r>
        <w:rPr>
          <w:rFonts w:ascii="Calibri" w:cs="Calibri" w:eastAsia="Calibri" w:hAnsi="Calibri"/>
          <w:color w:val="262828"/>
          <w:sz w:val="21"/>
          <w:szCs w:val="21"/>
        </w:rPr>
        <w:t xml:space="preserve">Trois conventions de lecture.</w:t>
      </w:r>
    </w:p>
    <w:p>
      <w:pPr>
        <w:pStyle w:val="ListParagraph"/>
        <w:numPr>
          <w:ilvl w:val="0"/>
          <w:numId w:val="2"/>
        </w:numPr>
        <w:spacing w:after="80" w:line="276"/>
      </w:pPr>
      <w:r>
        <w:rPr>
          <w:rFonts w:ascii="Calibri" w:cs="Calibri" w:eastAsia="Calibri" w:hAnsi="Calibri"/>
          <w:color w:val="262828"/>
          <w:sz w:val="21"/>
          <w:szCs w:val="21"/>
        </w:rPr>
        <w:t xml:space="preserve">Les passages entre crochets, de la forme [À RENSEIGNER], attendent une donnée de votre établissement. Tant qu'il en reste un seul, le document n'est pas prêt.</w:t>
      </w:r>
    </w:p>
    <w:p>
      <w:pPr>
        <w:pStyle w:val="ListParagraph"/>
        <w:numPr>
          <w:ilvl w:val="0"/>
          <w:numId w:val="2"/>
        </w:numPr>
        <w:spacing w:after="80" w:line="276"/>
      </w:pPr>
      <w:r>
        <w:rPr>
          <w:rFonts w:ascii="Calibri" w:cs="Calibri" w:eastAsia="Calibri" w:hAnsi="Calibri"/>
          <w:color w:val="262828"/>
          <w:sz w:val="21"/>
          <w:szCs w:val="21"/>
        </w:rPr>
        <w:t xml:space="preserve">Les paragraphes encadrés d'un filet bleu sont les exigences elles-mêmes. Ce sont eux que vous recopiez dans votre CCTP.</w:t>
      </w:r>
    </w:p>
    <w:p>
      <w:pPr>
        <w:pStyle w:val="ListParagraph"/>
        <w:numPr>
          <w:ilvl w:val="0"/>
          <w:numId w:val="2"/>
        </w:numPr>
        <w:spacing w:after="80" w:line="276"/>
      </w:pPr>
      <w:r>
        <w:rPr>
          <w:rFonts w:ascii="Calibri" w:cs="Calibri" w:eastAsia="Calibri" w:hAnsi="Calibri"/>
          <w:color w:val="262828"/>
          <w:sz w:val="21"/>
          <w:szCs w:val="21"/>
        </w:rPr>
        <w:t xml:space="preserve">Les notes en italique gris expliquent ce que chaque exigence protège. Elles vous servent à arbitrer, et à répondre aux questions de votre service marchés. Supprimez-les avant publication.</w:t>
      </w:r>
    </w:p>
    <w:p>
      <w:pPr>
        <w:spacing w:after="200" w:line="276"/>
      </w:pPr>
      <w:r>
        <w:rPr>
          <w:rFonts w:ascii="Calibri" w:cs="Calibri" w:eastAsia="Calibri" w:hAnsi="Calibri"/>
          <w:color w:val="262828"/>
          <w:sz w:val="21"/>
          <w:szCs w:val="21"/>
        </w:rPr>
        <w:t xml:space="preserve">Un avertissement, et il est important. En marché public, un opérateur économique qui a participé à la préparation du dossier de consultation peut voir sa candidature contestée s'il soumissionne ensuite. Cette trame est publique et anonyme, ce qui la place hors de ce cas de figure. En revanche, si vous nous demandez de relire votre CCTP, le cadre de cet échange doit être posé avec votre service de la commande publique, et il vaut mieux le faire avant qu'après.</w:t>
      </w:r>
    </w:p>
    <w:p>
      <w:pPr>
        <w:spacing w:after="300" w:line="276"/>
      </w:pPr>
      <w:r>
        <w:rPr>
          <w:rFonts w:ascii="Calibri" w:cs="Calibri" w:eastAsia="Calibri" w:hAnsi="Calibri"/>
          <w:color w:val="262828"/>
          <w:sz w:val="21"/>
          <w:szCs w:val="21"/>
        </w:rPr>
        <w:t xml:space="preserve">La règle de fond, enfin : le code de la commande publique interdit de désigner une marque ou un procédé déterminé qui aurait pour effet de favoriser un opérateur. Toutes les formulations qui suivent décrivent des fonctions et des normes, jamais des produits.</w:t>
      </w:r>
    </w:p>
    <w:p>
      <w:pPr>
        <w:pStyle w:val="Heading1"/>
        <w:spacing w:after="160" w:before="360"/>
      </w:pPr>
      <w:r>
        <w:rPr>
          <w:rFonts w:ascii="Calibri" w:cs="Calibri" w:eastAsia="Calibri" w:hAnsi="Calibri"/>
          <w:b/>
          <w:bCs/>
          <w:color w:val="262828"/>
          <w:sz w:val="30"/>
          <w:szCs w:val="30"/>
        </w:rPr>
        <w:t xml:space="preserve">1. Objet du marché</w:t>
      </w:r>
    </w:p>
    <w:p>
      <w:pPr>
        <w:pBdr>
          <w:left w:val="single" w:color="115CFA" w:sz="12" w:space="10"/>
        </w:pBdr>
        <w:spacing w:after="60" w:before="120" w:line="276"/>
        <w:ind w:left="316"/>
      </w:pPr>
      <w:r>
        <w:rPr>
          <w:rFonts w:ascii="Calibri" w:cs="Calibri" w:eastAsia="Calibri" w:hAnsi="Calibri"/>
          <w:color w:val="262828"/>
          <w:sz w:val="21"/>
          <w:szCs w:val="21"/>
        </w:rPr>
        <w:t xml:space="preserve">Le présent marché a pour objet la fourniture, l'installation, le paramétrage, la formation et la maintenance d'un système d'identification par radiofréquence destiné à [NOM DE L'ÉTABLISSEMENT], ainsi que l'équipement des collections en étiquettes RFID.</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Mentionner l'équipement des collections dès l'objet évite la discussion ultérieure sur ce qui était inclus. C'est le poste le plus lourd du projet et le plus souvent oublié à ce stade.</w:t>
      </w:r>
    </w:p>
    <w:p>
      <w:pPr>
        <w:pStyle w:val="Heading2"/>
        <w:spacing w:after="120" w:before="260"/>
      </w:pPr>
      <w:r>
        <w:rPr>
          <w:rFonts w:ascii="Calibri" w:cs="Calibri" w:eastAsia="Calibri" w:hAnsi="Calibri"/>
          <w:b/>
          <w:bCs/>
          <w:color w:val="115CFA"/>
          <w:sz w:val="24"/>
          <w:szCs w:val="24"/>
        </w:rPr>
        <w:t xml:space="preserve">1.1. Contexte de l'établissement</w:t>
      </w:r>
    </w:p>
    <w:p>
      <w:pPr>
        <w:spacing w:after="120" w:line="276"/>
      </w:pPr>
      <w:r>
        <w:rPr>
          <w:rFonts w:ascii="Calibri" w:cs="Calibri" w:eastAsia="Calibri" w:hAnsi="Calibri"/>
          <w:color w:val="262828"/>
          <w:sz w:val="21"/>
          <w:szCs w:val="21"/>
        </w:rPr>
        <w:t xml:space="preserve">Renseignez ce tableau et joignez-le au CCTP. Les candidats qui disposent de ces données proposent des dimensionnements comparables, ce qui est précisément ce que vous cherchez.</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800"/>
        <w:gridCol w:w="5600"/>
      </w:tblGrid>
      <w:tr>
        <w:trPr>
          <w:tblHeader/>
        </w:trPr>
        <w:tc>
          <w:tcPr>
            <w:tcW w:type="dxa" w:w="3800"/>
            <w:shd w:fill="EEF3FE" w:color="auto" w:val="clear"/>
            <w:tcMar>
              <w:top w:type="dxa" w:w="90"/>
              <w:left w:type="dxa" w:w="120"/>
              <w:bottom w:type="dxa" w:w="90"/>
              <w:right w:type="dxa" w:w="120"/>
            </w:tcMar>
          </w:tcPr>
          <w:p>
            <w:pPr>
              <w:spacing w:after="0"/>
            </w:pPr>
            <w:r>
              <w:rPr>
                <w:rFonts w:ascii="Calibri" w:cs="Calibri" w:eastAsia="Calibri" w:hAnsi="Calibri"/>
                <w:b/>
                <w:bCs/>
                <w:color w:val="262828"/>
                <w:sz w:val="19"/>
                <w:szCs w:val="19"/>
              </w:rPr>
              <w:t xml:space="preserve">Donnée</w:t>
            </w:r>
          </w:p>
        </w:tc>
        <w:tc>
          <w:tcPr>
            <w:tcW w:type="dxa" w:w="5600"/>
            <w:shd w:fill="EEF3FE" w:color="auto" w:val="clear"/>
            <w:tcMar>
              <w:top w:type="dxa" w:w="90"/>
              <w:left w:type="dxa" w:w="120"/>
              <w:bottom w:type="dxa" w:w="90"/>
              <w:right w:type="dxa" w:w="120"/>
            </w:tcMar>
          </w:tcPr>
          <w:p>
            <w:pPr>
              <w:spacing w:after="0"/>
            </w:pPr>
            <w:r>
              <w:rPr>
                <w:rFonts w:ascii="Calibri" w:cs="Calibri" w:eastAsia="Calibri" w:hAnsi="Calibri"/>
                <w:b/>
                <w:bCs/>
                <w:color w:val="262828"/>
                <w:sz w:val="19"/>
                <w:szCs w:val="19"/>
              </w:rPr>
              <w:t xml:space="preserve">Valeur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Nombre de documents du fonds</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Dont documents audiovisuels et boîtiers</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Transactions annuelles, prêts et retours</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Nombre de sites concernés</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Surface des espaces publics</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Amplitude d'ouverture hebdomadaire</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SIGB en place et version</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Éditeur du SIGB et contact technique</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Documents déjà équipés en RFID, et norme</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Largeur des sorties à sécuriser</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r>
        <w:trPr>
          <w:tblHeader w:val="false"/>
        </w:trPr>
        <w:tc>
          <w:tcPr>
            <w:tcW w:type="dxa" w:w="38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Contraintes du bâtiment, classement éventuel</w:t>
            </w:r>
          </w:p>
        </w:tc>
        <w:tc>
          <w:tcPr>
            <w:tcW w:type="dxa" w:w="56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[À RENSEIGNER]</w:t>
            </w:r>
          </w:p>
        </w:tc>
      </w:tr>
    </w:tbl>
    <w:p>
      <w:pPr>
        <w:spacing w:after="200" w:line="276"/>
      </w:pPr>
      <w:r>
        <w:rPr>
          <w:rFonts w:ascii="Calibri" w:cs="Calibri" w:eastAsia="Calibri" w:hAnsi="Calibri"/>
          <w:color w:val="262828"/>
          <w:sz w:val="21"/>
          <w:szCs w:val="21"/>
        </w:rPr>
        <w:t xml:space="preserve"/>
      </w:r>
    </w:p>
    <w:p>
      <w:pPr>
        <w:pStyle w:val="Heading2"/>
        <w:spacing w:after="120" w:before="260"/>
      </w:pPr>
      <w:r>
        <w:rPr>
          <w:rFonts w:ascii="Calibri" w:cs="Calibri" w:eastAsia="Calibri" w:hAnsi="Calibri"/>
          <w:b/>
          <w:bCs/>
          <w:color w:val="115CFA"/>
          <w:sz w:val="24"/>
          <w:szCs w:val="24"/>
        </w:rPr>
        <w:t xml:space="preserve">1.2. Allotissement</w:t>
      </w:r>
    </w:p>
    <w:p>
      <w:pPr>
        <w:pBdr>
          <w:left w:val="single" w:color="115CFA" w:sz="12" w:space="10"/>
        </w:pBdr>
        <w:spacing w:after="60" w:before="120" w:line="276"/>
        <w:ind w:left="316"/>
      </w:pPr>
      <w:r>
        <w:rPr>
          <w:rFonts w:ascii="Calibri" w:cs="Calibri" w:eastAsia="Calibri" w:hAnsi="Calibri"/>
          <w:color w:val="262828"/>
          <w:sz w:val="21"/>
          <w:szCs w:val="21"/>
        </w:rPr>
        <w:t xml:space="preserve">Le marché est alloti comme suit. Lot 1 : équipements RFID, installation, paramétrage, formation et maintenance. Lot 2 : étiquettes RFID et consommables. [ADAPTER SELON VOTRE DÉCOUPAGE]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L'allotissement est le principe en commande publique. Ce découpage en deux est le plus courant et le plus opérationnel : les équipements et les consommables n'ont ni la même durée de vie, ni le même rythme de commande, ni les mêmes candidats naturels.</w:t>
      </w:r>
    </w:p>
    <w:p>
      <w:pPr>
        <w:pBdr>
          <w:left w:val="single" w:color="115CFA" w:sz="12" w:space="10"/>
        </w:pBdr>
        <w:spacing w:after="60" w:before="120" w:line="276"/>
        <w:ind w:left="316"/>
      </w:pPr>
      <w:r>
        <w:rPr>
          <w:rFonts w:ascii="Calibri" w:cs="Calibri" w:eastAsia="Calibri" w:hAnsi="Calibri"/>
          <w:color w:val="262828"/>
          <w:sz w:val="21"/>
          <w:szCs w:val="21"/>
        </w:rPr>
        <w:t xml:space="preserve">Le lot 2 fait l'objet d'un accord-cadre à bons de commande, d'une durée de [4] ans, avec un minimum de [À RENSEIGNER] étiquettes et un maximum de [À RENSEIGNER] étiquettes sur la durée de l'accord.</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Quatre ans est la durée usuelle, cohérente avec un équipement des collections étalé par tranches annuelles. Les quantités minimales et maximales protègent les deux parties : elles vous évitent d'être engagé sur un volume que vous ne consommerez pas, et elles permettent au candidat de chiffrer sérieusement.</w:t>
      </w:r>
    </w:p>
    <w:p>
      <w:pPr>
        <w:pStyle w:val="Heading1"/>
        <w:spacing w:after="160" w:before="360"/>
      </w:pPr>
      <w:r>
        <w:rPr>
          <w:rFonts w:ascii="Calibri" w:cs="Calibri" w:eastAsia="Calibri" w:hAnsi="Calibri"/>
          <w:b/>
          <w:bCs/>
          <w:color w:val="262828"/>
          <w:sz w:val="30"/>
          <w:szCs w:val="30"/>
        </w:rPr>
        <w:t xml:space="preserve">2. Exigences communes à tous les équipements</w:t>
      </w:r>
    </w:p>
    <w:p>
      <w:pPr>
        <w:pStyle w:val="Heading2"/>
        <w:spacing w:after="120" w:before="260"/>
      </w:pPr>
      <w:r>
        <w:rPr>
          <w:rFonts w:ascii="Calibri" w:cs="Calibri" w:eastAsia="Calibri" w:hAnsi="Calibri"/>
          <w:b/>
          <w:bCs/>
          <w:color w:val="115CFA"/>
          <w:sz w:val="24"/>
          <w:szCs w:val="24"/>
        </w:rPr>
        <w:t xml:space="preserve">2.1. Étiquettes et modèle de données</w:t>
      </w:r>
    </w:p>
    <w:p>
      <w:pPr>
        <w:pBdr>
          <w:left w:val="single" w:color="115CFA" w:sz="12" w:space="10"/>
        </w:pBdr>
        <w:spacing w:after="60" w:before="120" w:line="276"/>
        <w:ind w:left="316"/>
      </w:pPr>
      <w:r>
        <w:rPr>
          <w:rFonts w:ascii="Calibri" w:cs="Calibri" w:eastAsia="Calibri" w:hAnsi="Calibri"/>
          <w:color w:val="262828"/>
          <w:sz w:val="21"/>
          <w:szCs w:val="21"/>
        </w:rPr>
        <w:t xml:space="preserve">Les étiquettes RFID respecteront la norme ISO 15693 ou ISO 18000-3 mode 1, avec un modèle de données conforme à la norme ISO 28560 partie 2 ou au profil français IDRABIB FR01. Le titulaire précisera dans son offre le modèle de données retenu, la liste des éléments encodés et leur ordre.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C'est l'exigence la plus rentable de tout le document. Elle garantit qu'un autre prestataire pourra lire votre fonds dans dix ans, sans réencodage. Un fonds encodé dans un format propriétaire vous lie à son fournisseur pour la durée de vie des étiquettes, soit plusieurs décennies.</w:t>
      </w:r>
    </w:p>
    <w:p>
      <w:pPr>
        <w:pBdr>
          <w:left w:val="single" w:color="115CFA" w:sz="12" w:space="10"/>
        </w:pBdr>
        <w:spacing w:after="60" w:before="120" w:line="276"/>
        <w:ind w:left="316"/>
      </w:pPr>
      <w:r>
        <w:rPr>
          <w:rFonts w:ascii="Calibri" w:cs="Calibri" w:eastAsia="Calibri" w:hAnsi="Calibri"/>
          <w:color w:val="262828"/>
          <w:sz w:val="21"/>
          <w:szCs w:val="21"/>
        </w:rPr>
        <w:t xml:space="preserve">L'ensemble des équipements du marché lira et écrira les étiquettes selon ce même modèle de données, y compris les étiquettes déjà posées sur le fonds existant.</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Sans cette phrase, un candidat peut proposer des équipements qui imposent un réencodage complet des collections déjà équipées.</w:t>
      </w:r>
    </w:p>
    <w:p>
      <w:pPr>
        <w:pStyle w:val="Heading2"/>
        <w:spacing w:after="120" w:before="260"/>
      </w:pPr>
      <w:r>
        <w:rPr>
          <w:rFonts w:ascii="Calibri" w:cs="Calibri" w:eastAsia="Calibri" w:hAnsi="Calibri"/>
          <w:b/>
          <w:bCs/>
          <w:color w:val="115CFA"/>
          <w:sz w:val="24"/>
          <w:szCs w:val="24"/>
        </w:rPr>
        <w:t xml:space="preserve">2.2. Interfaçage avec le système de gestion</w:t>
      </w:r>
    </w:p>
    <w:p>
      <w:pPr>
        <w:pBdr>
          <w:left w:val="single" w:color="115CFA" w:sz="12" w:space="10"/>
        </w:pBdr>
        <w:spacing w:after="60" w:before="120" w:line="276"/>
        <w:ind w:left="316"/>
      </w:pPr>
      <w:r>
        <w:rPr>
          <w:rFonts w:ascii="Calibri" w:cs="Calibri" w:eastAsia="Calibri" w:hAnsi="Calibri"/>
          <w:color w:val="262828"/>
          <w:sz w:val="21"/>
          <w:szCs w:val="21"/>
        </w:rPr>
        <w:t xml:space="preserve">Les équipements dialogueront avec le système intégré de gestion de bibliothèque de l'établissement, [NOM DU SIGB, VERSION], par le protocole SIP2, NCIP ou une interface applicative documentée. Le candidat décrira dans son offre le protocole retenu, sa version, les messages utilisés, et le mode de raccordement réseau.</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Demander la description, et non la simple affirmation de compatibilité, fait la différence. Une compatibilité annoncée sans détail n'engage personne.</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citera au moins une référence d'établissement en exploitation utilisant la même combinaison de système de gestion, de version et d'équipements que celle qu'il propose.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C'est la vérification la plus simple et la plus discriminante. Elle sépare les compatibilités réelles des compatibilités théoriques.</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indiquera si l'activation de l'interface par l'éditeur du système de gestion engendre un coût, et le cas échéant son montant estimé.</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Ce coût existe chez certains éditeurs. Le découvrir après notification déséquilibre le budget et n'est imputable à personne.</w:t>
      </w:r>
    </w:p>
    <w:p>
      <w:pPr>
        <w:pStyle w:val="Heading2"/>
        <w:spacing w:after="120" w:before="260"/>
      </w:pPr>
      <w:r>
        <w:rPr>
          <w:rFonts w:ascii="Calibri" w:cs="Calibri" w:eastAsia="Calibri" w:hAnsi="Calibri"/>
          <w:b/>
          <w:bCs/>
          <w:color w:val="115CFA"/>
          <w:sz w:val="24"/>
          <w:szCs w:val="24"/>
        </w:rPr>
        <w:t xml:space="preserve">2.3. Comportement en cas d'indisponibilité du système de gestion</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décrira le comportement de chaque équipement lorsque le système de gestion ne répond pas : refus de la transaction, mémorisation et rejeu ultérieur, ou mode dégradé. Il précisera les conséquences de chaque cas sur la cohérence des données.</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Une question que personne ne pose et que tout le monde découvre en exploitation. Un équipement qui enregistre un prêt sans l'avoir fait valider crée des incohérences de catalogue difficiles à rattraper.</w:t>
      </w:r>
    </w:p>
    <w:p>
      <w:pPr>
        <w:pStyle w:val="Heading2"/>
        <w:spacing w:after="120" w:before="260"/>
      </w:pPr>
      <w:r>
        <w:rPr>
          <w:rFonts w:ascii="Calibri" w:cs="Calibri" w:eastAsia="Calibri" w:hAnsi="Calibri"/>
          <w:b/>
          <w:bCs/>
          <w:color w:val="115CFA"/>
          <w:sz w:val="24"/>
          <w:szCs w:val="24"/>
        </w:rPr>
        <w:t xml:space="preserve">2.4. Sécurité, réseau et télémaintenance</w:t>
      </w:r>
    </w:p>
    <w:p>
      <w:pPr>
        <w:pBdr>
          <w:left w:val="single" w:color="115CFA" w:sz="12" w:space="10"/>
        </w:pBdr>
        <w:spacing w:after="60" w:before="120" w:line="276"/>
        <w:ind w:left="316"/>
      </w:pPr>
      <w:r>
        <w:rPr>
          <w:rFonts w:ascii="Calibri" w:cs="Calibri" w:eastAsia="Calibri" w:hAnsi="Calibri"/>
          <w:color w:val="262828"/>
          <w:sz w:val="21"/>
          <w:szCs w:val="21"/>
        </w:rPr>
        <w:t xml:space="preserve">La politique de sécurité de la collectivité [autorise / n'autorise pas] l'accès distant aux équipements par le titulaire. [SUPPRIMER LA MENTION INUTILE]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Le silence sur ce point produit des offres non conformes à votre politique de sécurité, ou des délais d'intervention intenables. L'interdiction est gérable, mais elle change les modalités de support, donc le prix et les délais.</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précisera les flux réseau nécessaires au fonctionnement des équipements : protocoles, ports, sens des connexions, et si une liaison sortante vers un service en ligne est requise pour l'exploitation courante.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Permet à votre DSI d'instruire le dossier avant notification plutôt qu'après, et révèle les architectures qui dépendent d'un service externe.</w:t>
      </w:r>
    </w:p>
    <w:p>
      <w:pPr>
        <w:pStyle w:val="Heading2"/>
        <w:spacing w:after="120" w:before="260"/>
      </w:pPr>
      <w:r>
        <w:rPr>
          <w:rFonts w:ascii="Calibri" w:cs="Calibri" w:eastAsia="Calibri" w:hAnsi="Calibri"/>
          <w:b/>
          <w:bCs/>
          <w:color w:val="115CFA"/>
          <w:sz w:val="24"/>
          <w:szCs w:val="24"/>
        </w:rPr>
        <w:t xml:space="preserve">2.5. Accessibilité</w:t>
      </w:r>
    </w:p>
    <w:p>
      <w:pPr>
        <w:pBdr>
          <w:left w:val="single" w:color="115CFA" w:sz="12" w:space="10"/>
        </w:pBdr>
        <w:spacing w:after="60" w:before="120" w:line="276"/>
        <w:ind w:left="316"/>
      </w:pPr>
      <w:r>
        <w:rPr>
          <w:rFonts w:ascii="Calibri" w:cs="Calibri" w:eastAsia="Calibri" w:hAnsi="Calibri"/>
          <w:color w:val="262828"/>
          <w:sz w:val="21"/>
          <w:szCs w:val="21"/>
        </w:rPr>
        <w:t xml:space="preserve">Les équipements en libre-service seront utilisables par une personne en fauteuil roulant : hauteur de la surface de dépôt, hauteur et inclinaison de l'écran, absence d'obstacle sous l'équipement. Le candidat précisera les valeurs retenues.</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Formulation fonctionnelle : elle laisse ouvert le choix entre une borne réglable en hauteur et plusieurs postes à hauteurs différentes, tout en garantissant le résultat.</w:t>
      </w:r>
    </w:p>
    <w:p>
      <w:pPr>
        <w:pBdr>
          <w:left w:val="single" w:color="115CFA" w:sz="12" w:space="10"/>
        </w:pBdr>
        <w:spacing w:after="60" w:before="120" w:line="276"/>
        <w:ind w:left="316"/>
      </w:pPr>
      <w:r>
        <w:rPr>
          <w:rFonts w:ascii="Calibri" w:cs="Calibri" w:eastAsia="Calibri" w:hAnsi="Calibri"/>
          <w:color w:val="262828"/>
          <w:sz w:val="21"/>
          <w:szCs w:val="21"/>
        </w:rPr>
        <w:t xml:space="preserve">Les interfaces logicielles respecteront les exigences d'accessibilité applicables aux services numériques, référentiel RGAA et norme EN 301 549. Le candidat fournira un état des lieux daté de la conformité de la version proposée, et non une déclaration de principe.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L'état des lieux daté est vérifiable, la déclaration de principe ne l'est pas. C'est aussi ce que demandera votre référent accessibilité.</w:t>
      </w:r>
    </w:p>
    <w:p>
      <w:pPr>
        <w:pBdr>
          <w:left w:val="single" w:color="115CFA" w:sz="12" w:space="10"/>
        </w:pBdr>
        <w:spacing w:after="60" w:before="120" w:line="276"/>
        <w:ind w:left="316"/>
      </w:pPr>
      <w:r>
        <w:rPr>
          <w:rFonts w:ascii="Calibri" w:cs="Calibri" w:eastAsia="Calibri" w:hAnsi="Calibri"/>
          <w:color w:val="262828"/>
          <w:sz w:val="21"/>
          <w:szCs w:val="21"/>
        </w:rPr>
        <w:t xml:space="preserve">L'interface proposera au minimum les langues suivantes : [À RENSEIGNER]. Un guidage sonore sera activable.</w:t>
      </w:r>
    </w:p>
    <w:p>
      <w:pPr>
        <w:pStyle w:val="Heading2"/>
        <w:spacing w:after="120" w:before="260"/>
      </w:pPr>
      <w:r>
        <w:rPr>
          <w:rFonts w:ascii="Calibri" w:cs="Calibri" w:eastAsia="Calibri" w:hAnsi="Calibri"/>
          <w:b/>
          <w:bCs/>
          <w:color w:val="115CFA"/>
          <w:sz w:val="24"/>
          <w:szCs w:val="24"/>
        </w:rPr>
        <w:t xml:space="preserve">2.6. Données personnelles</w:t>
      </w:r>
    </w:p>
    <w:p>
      <w:pPr>
        <w:pBdr>
          <w:left w:val="single" w:color="115CFA" w:sz="12" w:space="10"/>
        </w:pBdr>
        <w:spacing w:after="60" w:before="120" w:line="276"/>
        <w:ind w:left="316"/>
      </w:pPr>
      <w:r>
        <w:rPr>
          <w:rFonts w:ascii="Calibri" w:cs="Calibri" w:eastAsia="Calibri" w:hAnsi="Calibri"/>
          <w:color w:val="262828"/>
          <w:sz w:val="21"/>
          <w:szCs w:val="21"/>
        </w:rPr>
        <w:t xml:space="preserve">Les étiquettes ne porteront aucune donnée relative à l'usager. Le lien entre un document et son emprunteur restera dans le système de gestion. Le candidat précisera quelles données de transaction sont conservées par ses équipements, leur durée de conservation et les modalités d'effacement.</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Les normes ISO 28560 et IDRABIB ne prévoient pas de chiffrement des données de la puce. Ce que l'on ne met pas sur l'étiquette est donc la seule protection réelle. Cette exigence alimente directement votre analyse d'impact.</w:t>
      </w:r>
    </w:p>
    <w:p>
      <w:r>
        <w:br w:type="page"/>
      </w:r>
    </w:p>
    <w:p>
      <w:pPr>
        <w:pStyle w:val="Heading1"/>
        <w:spacing w:after="160" w:before="360"/>
      </w:pPr>
      <w:r>
        <w:rPr>
          <w:rFonts w:ascii="Calibri" w:cs="Calibri" w:eastAsia="Calibri" w:hAnsi="Calibri"/>
          <w:b/>
          <w:bCs/>
          <w:color w:val="262828"/>
          <w:sz w:val="30"/>
          <w:szCs w:val="30"/>
        </w:rPr>
        <w:t xml:space="preserve">3. Exigences par équipement</w:t>
      </w:r>
    </w:p>
    <w:p>
      <w:pPr>
        <w:spacing w:after="120" w:line="276"/>
      </w:pPr>
      <w:r>
        <w:rPr>
          <w:rFonts w:ascii="Calibri" w:cs="Calibri" w:eastAsia="Calibri" w:hAnsi="Calibri"/>
          <w:color w:val="262828"/>
          <w:sz w:val="21"/>
          <w:szCs w:val="21"/>
        </w:rPr>
        <w:t xml:space="preserve">Conservez les sections correspondant aux équipements que vous achetez, supprimez les autres. Les valeurs entre crochets sont à fixer d'après le tableau de contexte du point 1.1.</w:t>
      </w:r>
    </w:p>
    <w:p>
      <w:pPr>
        <w:pStyle w:val="Heading2"/>
        <w:spacing w:after="120" w:before="260"/>
      </w:pPr>
      <w:r>
        <w:rPr>
          <w:rFonts w:ascii="Calibri" w:cs="Calibri" w:eastAsia="Calibri" w:hAnsi="Calibri"/>
          <w:b/>
          <w:bCs/>
          <w:color w:val="115CFA"/>
          <w:sz w:val="24"/>
          <w:szCs w:val="24"/>
        </w:rPr>
        <w:t xml:space="preserve">3.1. Automates de prêt en libre-service</w:t>
      </w:r>
    </w:p>
    <w:p>
      <w:pPr>
        <w:pBdr>
          <w:left w:val="single" w:color="115CFA" w:sz="12" w:space="10"/>
        </w:pBdr>
        <w:spacing w:after="60" w:before="120" w:line="276"/>
        <w:ind w:left="316"/>
      </w:pPr>
      <w:r>
        <w:rPr>
          <w:rFonts w:ascii="Calibri" w:cs="Calibri" w:eastAsia="Calibri" w:hAnsi="Calibri"/>
          <w:color w:val="262828"/>
          <w:sz w:val="21"/>
          <w:szCs w:val="21"/>
        </w:rPr>
        <w:t xml:space="preserve">L'automate permettra à l'usager d'emprunter et de rendre plusieurs documents posés simultanément, sans avoir à les ouvrir ni à les orienter. Il désactivera la sécurisation antivol au prêt et la réactivera au retour.</w:t>
      </w:r>
    </w:p>
    <w:p>
      <w:pPr>
        <w:pBdr>
          <w:left w:val="single" w:color="115CFA" w:sz="12" w:space="10"/>
        </w:pBdr>
        <w:spacing w:after="60" w:before="120" w:line="276"/>
        <w:ind w:left="316"/>
      </w:pPr>
      <w:r>
        <w:rPr>
          <w:rFonts w:ascii="Calibri" w:cs="Calibri" w:eastAsia="Calibri" w:hAnsi="Calibri"/>
          <w:color w:val="262828"/>
          <w:sz w:val="21"/>
          <w:szCs w:val="21"/>
        </w:rPr>
        <w:t xml:space="preserve">Il traitera une pile de [5] documents en une seule opération, avec un taux de lecture supérieur à [99] pour cent sur les documents de l'établissement, y compris les documents audiovisuels en boîtier.</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Le taux de lecture sur boîtiers audiovisuels est le point faible réel de la technologie. L'exiger explicitement évite la mauvaise surprise en recette, surtout si votre fonds en comporte beaucoup.</w:t>
      </w:r>
    </w:p>
    <w:p>
      <w:pPr>
        <w:pBdr>
          <w:left w:val="single" w:color="115CFA" w:sz="12" w:space="10"/>
        </w:pBdr>
        <w:spacing w:after="60" w:before="120" w:line="276"/>
        <w:ind w:left="316"/>
      </w:pPr>
      <w:r>
        <w:rPr>
          <w:rFonts w:ascii="Calibri" w:cs="Calibri" w:eastAsia="Calibri" w:hAnsi="Calibri"/>
          <w:color w:val="262828"/>
          <w:sz w:val="21"/>
          <w:szCs w:val="21"/>
        </w:rPr>
        <w:t xml:space="preserve">L'automate remettra à l'usager un justificatif, au choix imprimé ou envoyé par courrier électronique.</w:t>
      </w:r>
    </w:p>
    <w:p>
      <w:pPr>
        <w:pBdr>
          <w:left w:val="single" w:color="115CFA" w:sz="12" w:space="10"/>
        </w:pBdr>
        <w:spacing w:after="60" w:before="120" w:line="276"/>
        <w:ind w:left="316"/>
      </w:pPr>
      <w:r>
        <w:rPr>
          <w:rFonts w:ascii="Calibri" w:cs="Calibri" w:eastAsia="Calibri" w:hAnsi="Calibri"/>
          <w:color w:val="262828"/>
          <w:sz w:val="21"/>
          <w:szCs w:val="21"/>
        </w:rPr>
        <w:t xml:space="preserve">Le nombre d'automates et leur format, sur pied, mural ou de comptoir, seront proposés par le candidat au vu du contexte décrit au point 1.1, et justifiés.</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Laisser le candidat proposer le dimensionnement, en le justifiant, vous donne un élément de comparaison des offres plus utile qu'une quantité imposée.</w:t>
      </w:r>
    </w:p>
    <w:p>
      <w:pPr>
        <w:pStyle w:val="Heading2"/>
        <w:spacing w:after="120" w:before="260"/>
      </w:pPr>
      <w:r>
        <w:rPr>
          <w:rFonts w:ascii="Calibri" w:cs="Calibri" w:eastAsia="Calibri" w:hAnsi="Calibri"/>
          <w:b/>
          <w:bCs/>
          <w:color w:val="115CFA"/>
          <w:sz w:val="24"/>
          <w:szCs w:val="24"/>
        </w:rPr>
        <w:t xml:space="preserve">3.2. Retour en libre-service accessible hors horaires d'ouverture</w:t>
      </w:r>
    </w:p>
    <w:p>
      <w:pPr>
        <w:pBdr>
          <w:left w:val="single" w:color="115CFA" w:sz="12" w:space="10"/>
        </w:pBdr>
        <w:spacing w:after="60" w:before="120" w:line="276"/>
        <w:ind w:left="316"/>
      </w:pPr>
      <w:r>
        <w:rPr>
          <w:rFonts w:ascii="Calibri" w:cs="Calibri" w:eastAsia="Calibri" w:hAnsi="Calibri"/>
          <w:color w:val="262828"/>
          <w:sz w:val="21"/>
          <w:szCs w:val="21"/>
        </w:rPr>
        <w:t xml:space="preserve">L'équipement recevra les documents rendus en dehors des heures d'ouverture, identifiera chaque document à l'insertion, enregistrera le retour dans le système de gestion, réactivera la sécurisation et délivrera un justificatif à l'usager.</w:t>
      </w:r>
    </w:p>
    <w:p>
      <w:pPr>
        <w:pBdr>
          <w:left w:val="single" w:color="115CFA" w:sz="12" w:space="10"/>
        </w:pBdr>
        <w:spacing w:after="60" w:before="120" w:line="276"/>
        <w:ind w:left="316"/>
      </w:pPr>
      <w:r>
        <w:rPr>
          <w:rFonts w:ascii="Calibri" w:cs="Calibri" w:eastAsia="Calibri" w:hAnsi="Calibri"/>
          <w:color w:val="262828"/>
          <w:sz w:val="21"/>
          <w:szCs w:val="21"/>
        </w:rPr>
        <w:t xml:space="preserve">Il résistera aux conditions climatiques du site, dans une plage de température de [-10] à [+40] degrés, et protégera les documents de la pluie et de la poussière. Le candidat précisera l'indice de protection de l'équipement.</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précisera les contraintes de génie civil : percement de façade, dimensions de la réservation, alimentation électrique, raccordement réseau, et évacuation éventuelle des eaux.</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Sur ce poste, la percée en façade et ses autorisations pèsent souvent plus lourd dans le planning que l'équipement lui-même. Le faire chiffrer par le candidat évite de le découvrir en phase travaux.</w:t>
      </w:r>
    </w:p>
    <w:p>
      <w:pPr>
        <w:pStyle w:val="Heading2"/>
        <w:spacing w:after="120" w:before="260"/>
      </w:pPr>
      <w:r>
        <w:rPr>
          <w:rFonts w:ascii="Calibri" w:cs="Calibri" w:eastAsia="Calibri" w:hAnsi="Calibri"/>
          <w:b/>
          <w:bCs/>
          <w:color w:val="115CFA"/>
          <w:sz w:val="24"/>
          <w:szCs w:val="24"/>
        </w:rPr>
        <w:t xml:space="preserve">3.3. Tri automatique des documents</w:t>
      </w:r>
    </w:p>
    <w:p>
      <w:pPr>
        <w:pBdr>
          <w:left w:val="single" w:color="115CFA" w:sz="12" w:space="10"/>
        </w:pBdr>
        <w:spacing w:after="60" w:before="120" w:line="276"/>
        <w:ind w:left="316"/>
      </w:pPr>
      <w:r>
        <w:rPr>
          <w:rFonts w:ascii="Calibri" w:cs="Calibri" w:eastAsia="Calibri" w:hAnsi="Calibri"/>
          <w:color w:val="262828"/>
          <w:sz w:val="21"/>
          <w:szCs w:val="21"/>
        </w:rPr>
        <w:t xml:space="preserve">Le système de tri répartira les documents rendus vers [X] destinations physiques, selon des règles paramétrables par l'établissement, sans intervention d'un agent.</w:t>
      </w:r>
    </w:p>
    <w:p>
      <w:pPr>
        <w:pBdr>
          <w:left w:val="single" w:color="115CFA" w:sz="12" w:space="10"/>
        </w:pBdr>
        <w:spacing w:after="60" w:before="120" w:line="276"/>
        <w:ind w:left="316"/>
      </w:pPr>
      <w:r>
        <w:rPr>
          <w:rFonts w:ascii="Calibri" w:cs="Calibri" w:eastAsia="Calibri" w:hAnsi="Calibri"/>
          <w:color w:val="262828"/>
          <w:sz w:val="21"/>
          <w:szCs w:val="21"/>
        </w:rPr>
        <w:t xml:space="preserve">Il traitera au minimum [X] documents par heure. Il sera extensible à [X] destinations sans remplacement de l'unité centrale, et le candidat indiquera la durée d'immobilisation nécessaire à une telle extension ainsi que son prix unitaire au bordereau.</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Cadence, extensibilité, durée d'immobilisation et prix d'extension : ces quatre éléments ensemble vous protègent d'un système qui serait au maximum de ses capacités le jour de la livraison.</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fournira un plan d'implantation à l'échelle, précisant la longueur développée de la ligne, l'emprise au sol, les dégagements nécessaires à l'exploitation et à la maintenance, ainsi que la charge au sol.</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C'est la longueur au sol, et non le débit, qui limite un trieur dans un bâtiment existant. Un plan à l'échelle rend les offres comparables et révèle les propositions irréalisables.</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indiquera le niveau sonore de l'équipement en fonctionnement, exprimé en décibels pondérés A, mesuré à [1] mètre.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Question récurrente en exploitation lorsque le local de tri jouxte un espace public ou un bureau. Peu de constructeurs publient cette valeur : la demander en consultation est le seul moyen de l'obtenir.</w:t>
      </w:r>
    </w:p>
    <w:p>
      <w:pPr>
        <w:pBdr>
          <w:left w:val="single" w:color="115CFA" w:sz="12" w:space="10"/>
        </w:pBdr>
        <w:spacing w:after="60" w:before="120" w:line="276"/>
        <w:ind w:left="316"/>
      </w:pPr>
      <w:r>
        <w:rPr>
          <w:rFonts w:ascii="Calibri" w:cs="Calibri" w:eastAsia="Calibri" w:hAnsi="Calibri"/>
          <w:color w:val="262828"/>
          <w:sz w:val="21"/>
          <w:szCs w:val="21"/>
        </w:rPr>
        <w:t xml:space="preserve">Si l'établissement dispose déjà d'un parc de bacs, leur compatibilité avec la chaîne de tri sera vérifiée par le candidat avant remise de l'offre. [SUPPRIMER SI SANS OBJET]</w:t>
      </w:r>
    </w:p>
    <w:p>
      <w:pPr>
        <w:pStyle w:val="Heading2"/>
        <w:spacing w:after="120" w:before="260"/>
      </w:pPr>
      <w:r>
        <w:rPr>
          <w:rFonts w:ascii="Calibri" w:cs="Calibri" w:eastAsia="Calibri" w:hAnsi="Calibri"/>
          <w:b/>
          <w:bCs/>
          <w:color w:val="115CFA"/>
          <w:sz w:val="24"/>
          <w:szCs w:val="24"/>
        </w:rPr>
        <w:t xml:space="preserve">3.4. Sécurisation des sorties</w:t>
      </w:r>
    </w:p>
    <w:p>
      <w:pPr>
        <w:pBdr>
          <w:left w:val="single" w:color="115CFA" w:sz="12" w:space="10"/>
        </w:pBdr>
        <w:spacing w:after="60" w:before="120" w:line="276"/>
        <w:ind w:left="316"/>
      </w:pPr>
      <w:r>
        <w:rPr>
          <w:rFonts w:ascii="Calibri" w:cs="Calibri" w:eastAsia="Calibri" w:hAnsi="Calibri"/>
          <w:color w:val="262828"/>
          <w:sz w:val="21"/>
          <w:szCs w:val="21"/>
        </w:rPr>
        <w:t xml:space="preserve">Le dispositif détectera à la sortie les documents dont la sécurisation n'a pas été désactivée, et déclenchera une alarme sonore et lumineuse. La détection reposera sur l'information de sécurité portée par l'étiquette, sans interrogation du système de gestion au moment du passage.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Cette dernière précision garantit que la sécurisation continue de fonctionner pendant une panne réseau ou une indisponibilité du système de gestion. C'est une différence de conception, pas un détail.</w:t>
      </w:r>
    </w:p>
    <w:p>
      <w:pPr>
        <w:pBdr>
          <w:left w:val="single" w:color="115CFA" w:sz="12" w:space="10"/>
        </w:pBdr>
        <w:spacing w:after="60" w:before="120" w:line="276"/>
        <w:ind w:left="316"/>
      </w:pPr>
      <w:r>
        <w:rPr>
          <w:rFonts w:ascii="Calibri" w:cs="Calibri" w:eastAsia="Calibri" w:hAnsi="Calibri"/>
          <w:color w:val="262828"/>
          <w:sz w:val="21"/>
          <w:szCs w:val="21"/>
        </w:rPr>
        <w:t xml:space="preserve">Le dispositif couvrira un passage de [X] millimètres de largeur. Le candidat précisera le nombre de panneaux nécessaires et le taux de détection annoncé, ainsi que les conditions de mesure.</w:t>
      </w:r>
    </w:p>
    <w:p>
      <w:pPr>
        <w:pBdr>
          <w:left w:val="single" w:color="115CFA" w:sz="12" w:space="10"/>
        </w:pBdr>
        <w:spacing w:after="60" w:before="120" w:line="276"/>
        <w:ind w:left="316"/>
      </w:pPr>
      <w:r>
        <w:rPr>
          <w:rFonts w:ascii="Calibri" w:cs="Calibri" w:eastAsia="Calibri" w:hAnsi="Calibri"/>
          <w:color w:val="262828"/>
          <w:sz w:val="21"/>
          <w:szCs w:val="21"/>
        </w:rPr>
        <w:t xml:space="preserve">Le dispositif comptera les passages, dans les deux sens, et mettra cette donnée à disposition de l'établissement. Le candidat précisera la précision annoncée du comptage.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Le comptage de fréquentation est souvent inclus et rarement exploité. Le demander explicitement vous donne une donnée utile à votre rapport d'activité, à condition de connaître sa marge d'erreur.</w:t>
      </w:r>
    </w:p>
    <w:p>
      <w:pPr>
        <w:pStyle w:val="Heading2"/>
        <w:spacing w:after="120" w:before="260"/>
      </w:pPr>
      <w:r>
        <w:rPr>
          <w:rFonts w:ascii="Calibri" w:cs="Calibri" w:eastAsia="Calibri" w:hAnsi="Calibri"/>
          <w:b/>
          <w:bCs/>
          <w:color w:val="115CFA"/>
          <w:sz w:val="24"/>
          <w:szCs w:val="24"/>
        </w:rPr>
        <w:t xml:space="preserve">3.5. Récolement et inventaire mobile</w:t>
      </w:r>
    </w:p>
    <w:p>
      <w:pPr>
        <w:pBdr>
          <w:left w:val="single" w:color="115CFA" w:sz="12" w:space="10"/>
        </w:pBdr>
        <w:spacing w:after="60" w:before="120" w:line="276"/>
        <w:ind w:left="316"/>
      </w:pPr>
      <w:r>
        <w:rPr>
          <w:rFonts w:ascii="Calibri" w:cs="Calibri" w:eastAsia="Calibri" w:hAnsi="Calibri"/>
          <w:color w:val="262828"/>
          <w:sz w:val="21"/>
          <w:szCs w:val="21"/>
        </w:rPr>
        <w:t xml:space="preserve">L'équipement permettra la lecture des documents en rayon sans les sortir des étagères, et produira la liste des documents présents, manquants, mal rangés par rapport à leur section, et signalés empruntés alors qu'ils sont en rayon.</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précisera l'autonomie de l'équipement, sa masse en ordre de marche, et le nombre d'étiquettes lues par seconde.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La masse compte davantage qu'on ne le croit : l'équipement est porté plusieurs heures d'affilée par un agent qui marche.</w:t>
      </w:r>
    </w:p>
    <w:p>
      <w:pPr>
        <w:pBdr>
          <w:left w:val="single" w:color="115CFA" w:sz="12" w:space="10"/>
        </w:pBdr>
        <w:spacing w:after="60" w:before="120" w:line="276"/>
        <w:ind w:left="316"/>
      </w:pPr>
      <w:r>
        <w:rPr>
          <w:rFonts w:ascii="Calibri" w:cs="Calibri" w:eastAsia="Calibri" w:hAnsi="Calibri"/>
          <w:color w:val="262828"/>
          <w:sz w:val="21"/>
          <w:szCs w:val="21"/>
        </w:rPr>
        <w:t xml:space="preserve">Les listes produites seront exportables dans un format ouvert, exploitable dans un tableur, sans passer par un service en ligne du titulaire.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Garantit que le résultat du récolement vous appartient et reste exploitable si vous changez de prestataire.</w:t>
      </w:r>
    </w:p>
    <w:p>
      <w:pPr>
        <w:pStyle w:val="Heading2"/>
        <w:spacing w:after="120" w:before="260"/>
      </w:pPr>
      <w:r>
        <w:rPr>
          <w:rFonts w:ascii="Calibri" w:cs="Calibri" w:eastAsia="Calibri" w:hAnsi="Calibri"/>
          <w:b/>
          <w:bCs/>
          <w:color w:val="115CFA"/>
          <w:sz w:val="24"/>
          <w:szCs w:val="24"/>
        </w:rPr>
        <w:t xml:space="preserve">3.6. Poste de travail du personnel</w:t>
      </w:r>
    </w:p>
    <w:p>
      <w:pPr>
        <w:pBdr>
          <w:left w:val="single" w:color="115CFA" w:sz="12" w:space="10"/>
        </w:pBdr>
        <w:spacing w:after="60" w:before="120" w:line="276"/>
        <w:ind w:left="316"/>
      </w:pPr>
      <w:r>
        <w:rPr>
          <w:rFonts w:ascii="Calibri" w:cs="Calibri" w:eastAsia="Calibri" w:hAnsi="Calibri"/>
          <w:color w:val="262828"/>
          <w:sz w:val="21"/>
          <w:szCs w:val="21"/>
        </w:rPr>
        <w:t xml:space="preserve">Le poste permettra l'encodage des étiquettes des nouvelles acquisitions, la conversion des documents identifiés par code à barres, l'activation et la désactivation de la sécurisation, ainsi que le prêt et le retour au comptoir.</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précisera les systèmes d'exploitation supportés et leurs versions, ainsi que la durée pendant laquelle ces versions resteront supportées.</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Un pilote qui ne fonctionne plus après une montée de version du parc informatique immobilise le poste. Cette question relève de votre DSI et se pose avant, pas après.</w:t>
      </w:r>
    </w:p>
    <w:p>
      <w:pPr>
        <w:pStyle w:val="Heading2"/>
        <w:spacing w:after="120" w:before="260"/>
      </w:pPr>
      <w:r>
        <w:rPr>
          <w:rFonts w:ascii="Calibri" w:cs="Calibri" w:eastAsia="Calibri" w:hAnsi="Calibri"/>
          <w:b/>
          <w:bCs/>
          <w:color w:val="115CFA"/>
          <w:sz w:val="24"/>
          <w:szCs w:val="24"/>
        </w:rPr>
        <w:t xml:space="preserve">3.7. Supervision et statistiques</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fournira un outil de supervision indiquant l'état de disponibilité de chaque équipement, les volumes traités et les incidents. Les données d'usage seront exportables dans un format ouvert.</w:t>
      </w:r>
    </w:p>
    <w:p>
      <w:pPr>
        <w:pBdr>
          <w:left w:val="single" w:color="115CFA" w:sz="12" w:space="10"/>
        </w:pBdr>
        <w:spacing w:after="60" w:before="120" w:line="276"/>
        <w:ind w:left="316"/>
      </w:pPr>
      <w:r>
        <w:rPr>
          <w:rFonts w:ascii="Calibri" w:cs="Calibri" w:eastAsia="Calibri" w:hAnsi="Calibri"/>
          <w:color w:val="262828"/>
          <w:sz w:val="21"/>
          <w:szCs w:val="21"/>
        </w:rPr>
        <w:t xml:space="preserve">Le candidat précisera si cet outil est hébergé chez lui ou installable sur les serveurs de l'établissement, et les conséquences de chaque option. [PRÉCISER SI VOTRE POLITIQUE IMPOSE UN HÉBERGEMENT LOCAL]</w:t>
      </w:r>
    </w:p>
    <w:p>
      <w:r>
        <w:br w:type="page"/>
      </w:r>
    </w:p>
    <w:p>
      <w:pPr>
        <w:pStyle w:val="Heading1"/>
        <w:spacing w:after="160" w:before="360"/>
      </w:pPr>
      <w:r>
        <w:rPr>
          <w:rFonts w:ascii="Calibri" w:cs="Calibri" w:eastAsia="Calibri" w:hAnsi="Calibri"/>
          <w:b/>
          <w:bCs/>
          <w:color w:val="262828"/>
          <w:sz w:val="30"/>
          <w:szCs w:val="30"/>
        </w:rPr>
        <w:t xml:space="preserve">4. Équipement des collections</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fournira [X] étiquettes RFID conformes aux exigences du point 2.1, réparties en [X] étiquettes pour documents imprimés et [X] étiquettes pour documents audiovisuels.</w:t>
      </w:r>
    </w:p>
    <w:p>
      <w:pPr>
        <w:pBdr>
          <w:left w:val="single" w:color="115CFA" w:sz="12" w:space="10"/>
        </w:pBdr>
        <w:spacing w:after="60" w:before="120" w:line="276"/>
        <w:ind w:left="316"/>
      </w:pPr>
      <w:r>
        <w:rPr>
          <w:rFonts w:ascii="Calibri" w:cs="Calibri" w:eastAsia="Calibri" w:hAnsi="Calibri"/>
          <w:color w:val="262828"/>
          <w:sz w:val="21"/>
          <w:szCs w:val="21"/>
        </w:rPr>
        <w:t xml:space="preserve">La pose et l'encodage seront réalisés [par le titulaire / par les équipes de l'établissement, le titulaire fournissant les moyens et la formation]. [SUPPRIMER LA MENTION INUTILE]</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Ce choix est le principal levier budgétaire du projet. La pose en régie coûte du temps agent et allonge le calendrier, la pose par un prestataire coûte plus cher à l'achat et va beaucoup plus vite. Faites chiffrer les deux dans votre bordereau si vous hésitez encore.</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indiquera la cadence de pose retenue, exprimée en documents par heure et par personne, ainsi que l'organisation proposée pour maintenir le service au public pendant le chantier.</w:t>
      </w:r>
    </w:p>
    <w:p>
      <w:pPr>
        <w:pBdr>
          <w:left w:val="single" w:color="115CFA" w:sz="12" w:space="10"/>
        </w:pBdr>
        <w:spacing w:after="60" w:before="120" w:line="276"/>
        <w:ind w:left="316"/>
      </w:pPr>
      <w:r>
        <w:rPr>
          <w:rFonts w:ascii="Calibri" w:cs="Calibri" w:eastAsia="Calibri" w:hAnsi="Calibri"/>
          <w:color w:val="262828"/>
          <w:sz w:val="21"/>
          <w:szCs w:val="21"/>
        </w:rPr>
        <w:t xml:space="preserve">Les étiquettes seront garanties réinscriptibles au moins [100 000] fois et leur durée de conservation des données sera d'au moins [10] ans.</w:t>
      </w:r>
    </w:p>
    <w:p>
      <w:pPr>
        <w:pStyle w:val="Heading1"/>
        <w:spacing w:after="160" w:before="360"/>
      </w:pPr>
      <w:r>
        <w:rPr>
          <w:rFonts w:ascii="Calibri" w:cs="Calibri" w:eastAsia="Calibri" w:hAnsi="Calibri"/>
          <w:b/>
          <w:bCs/>
          <w:color w:val="262828"/>
          <w:sz w:val="30"/>
          <w:szCs w:val="30"/>
        </w:rPr>
        <w:t xml:space="preserve">5. Installation, formation et réception</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proposera un calendrier détaillé d'installation, précisant les phases nécessitant une fermeture au public et leur durée. Le service au public sera maintenu pendant toute la durée du chantier, sauf phases expressément identifiées.</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assurera la formation des agents : [X] sessions, pour [X] personnes, sur site, incluant l'utilisation courante, le paramétrage des règles de tri et la résolution des incidents de premier niveau.</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Distinguer l'utilisation courante du paramétrage évite de dépendre du titulaire pour une modification de règle de tri, qui est une opération d'exploitation ordinaire.</w:t>
      </w:r>
    </w:p>
    <w:p>
      <w:pPr>
        <w:pBdr>
          <w:left w:val="single" w:color="115CFA" w:sz="12" w:space="10"/>
        </w:pBdr>
        <w:spacing w:after="60" w:before="120" w:line="276"/>
        <w:ind w:left="316"/>
      </w:pPr>
      <w:r>
        <w:rPr>
          <w:rFonts w:ascii="Calibri" w:cs="Calibri" w:eastAsia="Calibri" w:hAnsi="Calibri"/>
          <w:color w:val="262828"/>
          <w:sz w:val="21"/>
          <w:szCs w:val="21"/>
        </w:rPr>
        <w:t xml:space="preserve">La réception sera prononcée après une période de vérification d'aptitude de [X] semaines en fonctionnement réel, portant notamment sur le taux de lecture, le taux de détection en sortie et la cadence de tri effectivement constatés.</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Une réception prononcée sur la seule mise en service ne vous laisse aucun recours sur les performances réelles. La période de vérification est le moment où les écarts se constatent et se corrigent.</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remettra la documentation d'exploitation en français, ainsi que les paramétrages réalisés.</w:t>
      </w:r>
    </w:p>
    <w:p>
      <w:pPr>
        <w:pStyle w:val="Heading1"/>
        <w:spacing w:after="160" w:before="360"/>
      </w:pPr>
      <w:r>
        <w:rPr>
          <w:rFonts w:ascii="Calibri" w:cs="Calibri" w:eastAsia="Calibri" w:hAnsi="Calibri"/>
          <w:b/>
          <w:bCs/>
          <w:color w:val="262828"/>
          <w:sz w:val="30"/>
          <w:szCs w:val="30"/>
        </w:rPr>
        <w:t xml:space="preserve">6. Maintenance et engagements de service</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assurera la maintenance corrective et préventive des équipements pendant [X] ans à compter de la réception.</w:t>
      </w:r>
    </w:p>
    <w:p>
      <w:pPr>
        <w:pBdr>
          <w:left w:val="single" w:color="115CFA" w:sz="12" w:space="10"/>
        </w:pBdr>
        <w:spacing w:after="60" w:before="120" w:line="276"/>
        <w:ind w:left="316"/>
      </w:pPr>
      <w:r>
        <w:rPr>
          <w:rFonts w:ascii="Calibri" w:cs="Calibri" w:eastAsia="Calibri" w:hAnsi="Calibri"/>
          <w:color w:val="262828"/>
          <w:sz w:val="21"/>
          <w:szCs w:val="21"/>
        </w:rPr>
        <w:t xml:space="preserve">Les engagements suivants seront respectés : prise en compte d'une demande sous [X] heures ouvrées, rétablissement sous [X] heures ouvrées pour une panne bloquante, sous [X] jours ouvrés pour une panne non bloquante. Le candidat proposera une définition du caractère bloquant et l'établissement la validera.</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Calibrez ces délais sur votre besoin réel. Exiger un rétablissement en deux heures sur un site excentré renchérit l'offre sans servir à grand-chose, et écarte des candidats qui vous conviendraient.</w:t>
      </w:r>
    </w:p>
    <w:p>
      <w:pPr>
        <w:pBdr>
          <w:left w:val="single" w:color="115CFA" w:sz="12" w:space="10"/>
        </w:pBdr>
        <w:spacing w:after="60" w:before="120" w:line="276"/>
        <w:ind w:left="316"/>
      </w:pPr>
      <w:r>
        <w:rPr>
          <w:rFonts w:ascii="Calibri" w:cs="Calibri" w:eastAsia="Calibri" w:hAnsi="Calibri"/>
          <w:color w:val="262828"/>
          <w:sz w:val="21"/>
          <w:szCs w:val="21"/>
        </w:rPr>
        <w:t xml:space="preserve">Des pénalités seront appliquées en cas de dépassement, selon les modalités du cahier des clauses administratives particulières.</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indiquera le taux de disponibilité annuel garanti par équipement, et les modalités de son calcul.</w:t>
      </w:r>
    </w:p>
    <w:p>
      <w:pPr>
        <w:pBdr>
          <w:left w:val="single" w:color="115CFA" w:sz="12" w:space="10"/>
        </w:pBdr>
        <w:spacing w:after="60" w:before="120" w:line="276"/>
        <w:ind w:left="316"/>
      </w:pPr>
      <w:r>
        <w:rPr>
          <w:rFonts w:ascii="Calibri" w:cs="Calibri" w:eastAsia="Calibri" w:hAnsi="Calibri"/>
          <w:color w:val="262828"/>
          <w:sz w:val="21"/>
          <w:szCs w:val="21"/>
        </w:rPr>
        <w:t xml:space="preserve">Une visite de maintenance préventive annuelle sera réalisée sur les équipements mécaniques, tri et retour automatisé notamment.</w:t>
      </w:r>
    </w:p>
    <w:p>
      <w:pPr>
        <w:pStyle w:val="Heading1"/>
        <w:spacing w:after="160" w:before="360"/>
      </w:pPr>
      <w:r>
        <w:rPr>
          <w:rFonts w:ascii="Calibri" w:cs="Calibri" w:eastAsia="Calibri" w:hAnsi="Calibri"/>
          <w:b/>
          <w:bCs/>
          <w:color w:val="262828"/>
          <w:sz w:val="30"/>
          <w:szCs w:val="30"/>
        </w:rPr>
        <w:t xml:space="preserve">7. Obsolescence et pérennité</w:t>
      </w:r>
    </w:p>
    <w:p>
      <w:pPr>
        <w:pBdr>
          <w:left w:val="single" w:color="115CFA" w:sz="12" w:space="10"/>
        </w:pBdr>
        <w:spacing w:after="60" w:before="120" w:line="276"/>
        <w:ind w:left="316"/>
      </w:pPr>
      <w:r>
        <w:rPr>
          <w:rFonts w:ascii="Calibri" w:cs="Calibri" w:eastAsia="Calibri" w:hAnsi="Calibri"/>
          <w:color w:val="262828"/>
          <w:sz w:val="21"/>
          <w:szCs w:val="21"/>
        </w:rPr>
        <w:t xml:space="preserve">Le titulaire s'engage à un préavis de [12] mois avant l'arrêt de commercialisation d'une référence installée, et à la disponibilité des pièces détachées pendant [10] ans à compter de la livraison.</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Un équipement de bibliothèque s'amortit sur dix à quinze ans. Sans cet engagement, vous pouvez vous retrouver avec une ligne de tri irréparable au bout de six ans.</w:t>
      </w:r>
    </w:p>
    <w:p>
      <w:pPr>
        <w:pBdr>
          <w:left w:val="single" w:color="115CFA" w:sz="12" w:space="10"/>
        </w:pBdr>
        <w:spacing w:after="60" w:before="120" w:line="276"/>
        <w:ind w:left="316"/>
      </w:pPr>
      <w:r>
        <w:rPr>
          <w:rFonts w:ascii="Calibri" w:cs="Calibri" w:eastAsia="Calibri" w:hAnsi="Calibri"/>
          <w:color w:val="262828"/>
          <w:sz w:val="21"/>
          <w:szCs w:val="21"/>
        </w:rPr>
        <w:t xml:space="preserve">Les mises à jour logicielles correctives et de sécurité seront incluses dans la maintenance. Le titulaire précisera lesquelles sont payantes et selon quelles modalités.</w:t>
      </w:r>
    </w:p>
    <w:p>
      <w:pPr>
        <w:pBdr>
          <w:left w:val="single" w:color="115CFA" w:sz="12" w:space="10"/>
        </w:pBdr>
        <w:spacing w:after="60" w:before="120" w:line="276"/>
        <w:ind w:left="316"/>
      </w:pPr>
      <w:r>
        <w:rPr>
          <w:rFonts w:ascii="Calibri" w:cs="Calibri" w:eastAsia="Calibri" w:hAnsi="Calibri"/>
          <w:color w:val="262828"/>
          <w:sz w:val="21"/>
          <w:szCs w:val="21"/>
        </w:rPr>
        <w:t xml:space="preserve">En fin de marché, le titulaire fournira, sans surcoût, la documentation permettant à un autre prestataire de reprendre l'exploitation : modèle de données encodé, paramétrages, et modalités d'accès aux équipements.</w:t>
      </w:r>
    </w:p>
    <w:p>
      <w:pPr>
        <w:spacing w:after="180" w:line="264"/>
        <w:ind w:left="316"/>
      </w:pPr>
      <w:r>
        <w:rPr>
          <w:rFonts w:ascii="Calibri" w:cs="Calibri" w:eastAsia="Calibri" w:hAnsi="Calibri"/>
          <w:b/>
          <w:bCs/>
          <w:i/>
          <w:iCs/>
          <w:color w:val="707171"/>
          <w:sz w:val="19"/>
          <w:szCs w:val="19"/>
        </w:rPr>
        <w:t xml:space="preserve">Ce que cela protège. </w:t>
      </w:r>
      <w:r>
        <w:rPr>
          <w:rFonts w:ascii="Calibri" w:cs="Calibri" w:eastAsia="Calibri" w:hAnsi="Calibri"/>
          <w:i/>
          <w:iCs/>
          <w:color w:val="707171"/>
          <w:sz w:val="19"/>
          <w:szCs w:val="19"/>
        </w:rPr>
        <w:t xml:space="preserve">C'est la clause de réversibilité. Elle coûte une phrase et elle vaut cher au renouvellement du marché.</w:t>
      </w:r>
    </w:p>
    <w:p>
      <w:pPr>
        <w:pStyle w:val="Heading1"/>
        <w:spacing w:after="160" w:before="360"/>
      </w:pPr>
      <w:r>
        <w:rPr>
          <w:rFonts w:ascii="Calibri" w:cs="Calibri" w:eastAsia="Calibri" w:hAnsi="Calibri"/>
          <w:b/>
          <w:bCs/>
          <w:color w:val="262828"/>
          <w:sz w:val="30"/>
          <w:szCs w:val="30"/>
        </w:rPr>
        <w:t xml:space="preserve">8. Bordereau de prix, éléments à faire chiffrer</w:t>
      </w:r>
    </w:p>
    <w:p>
      <w:pPr>
        <w:spacing w:after="120" w:line="276"/>
      </w:pPr>
      <w:r>
        <w:rPr>
          <w:rFonts w:ascii="Calibri" w:cs="Calibri" w:eastAsia="Calibri" w:hAnsi="Calibri"/>
          <w:color w:val="262828"/>
          <w:sz w:val="21"/>
          <w:szCs w:val="21"/>
        </w:rPr>
        <w:t xml:space="preserve">Un bordereau bien construit vaut mieux qu'une clause de révision compliquée. Faites chiffrer à l'unité tout ce qui est susceptible d'évoluer.</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400"/>
        <w:gridCol w:w="6000"/>
      </w:tblGrid>
      <w:tr>
        <w:trPr>
          <w:tblHeader/>
        </w:trPr>
        <w:tc>
          <w:tcPr>
            <w:tcW w:type="dxa" w:w="3400"/>
            <w:shd w:fill="EEF3FE" w:color="auto" w:val="clear"/>
            <w:tcMar>
              <w:top w:type="dxa" w:w="90"/>
              <w:left w:type="dxa" w:w="120"/>
              <w:bottom w:type="dxa" w:w="90"/>
              <w:right w:type="dxa" w:w="120"/>
            </w:tcMar>
          </w:tcPr>
          <w:p>
            <w:pPr>
              <w:spacing w:after="0"/>
            </w:pPr>
            <w:r>
              <w:rPr>
                <w:rFonts w:ascii="Calibri" w:cs="Calibri" w:eastAsia="Calibri" w:hAnsi="Calibri"/>
                <w:b/>
                <w:bCs/>
                <w:color w:val="262828"/>
                <w:sz w:val="19"/>
                <w:szCs w:val="19"/>
              </w:rPr>
              <w:t xml:space="preserve">Poste</w:t>
            </w:r>
          </w:p>
        </w:tc>
        <w:tc>
          <w:tcPr>
            <w:tcW w:type="dxa" w:w="6000"/>
            <w:shd w:fill="EEF3FE" w:color="auto" w:val="clear"/>
            <w:tcMar>
              <w:top w:type="dxa" w:w="90"/>
              <w:left w:type="dxa" w:w="120"/>
              <w:bottom w:type="dxa" w:w="90"/>
              <w:right w:type="dxa" w:w="120"/>
            </w:tcMar>
          </w:tcPr>
          <w:p>
            <w:pPr>
              <w:spacing w:after="0"/>
            </w:pPr>
            <w:r>
              <w:rPr>
                <w:rFonts w:ascii="Calibri" w:cs="Calibri" w:eastAsia="Calibri" w:hAnsi="Calibri"/>
                <w:b/>
                <w:bCs/>
                <w:color w:val="262828"/>
                <w:sz w:val="19"/>
                <w:szCs w:val="19"/>
              </w:rPr>
              <w:t xml:space="preserve">Unité de prix à demander</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Automate de prêt</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unitaire par format proposé</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Retour en libre-service</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unitaire, génie civil identifié à part</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Module de tri</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de la configuration de base, puis prix unitaire d'une destination supplémentaire</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Bac de tri</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unitaire par type de bac</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Portique de sécurisation</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par passage couvert</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Lecteur de récolement</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unitaire</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Poste de travail</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unitaire</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Étiquettes</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au mille, par type de document</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Pose et encodage</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au document, ou à la journée d'intervention</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Formation</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à la journée et par session</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Maintenance</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annuel par équipement</w:t>
            </w:r>
          </w:p>
        </w:tc>
      </w:tr>
      <w:tr>
        <w:trPr>
          <w:tblHeader w:val="false"/>
        </w:trPr>
        <w:tc>
          <w:tcPr>
            <w:tcW w:type="dxa" w:w="3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Intervention hors garantie</w:t>
            </w:r>
          </w:p>
        </w:tc>
        <w:tc>
          <w:tcPr>
            <w:tcW w:type="dxa" w:w="60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à la journée, déplacement inclus ou non</w:t>
            </w:r>
          </w:p>
        </w:tc>
      </w:tr>
    </w:tbl>
    <w:p>
      <w:pPr>
        <w:spacing w:after="200" w:line="276"/>
      </w:pPr>
      <w:r>
        <w:rPr>
          <w:rFonts w:ascii="Calibri" w:cs="Calibri" w:eastAsia="Calibri" w:hAnsi="Calibri"/>
          <w:color w:val="262828"/>
          <w:sz w:val="21"/>
          <w:szCs w:val="21"/>
        </w:rPr>
        <w:t xml:space="preserve"/>
      </w:r>
    </w:p>
    <w:p>
      <w:r>
        <w:br w:type="page"/>
      </w:r>
    </w:p>
    <w:p>
      <w:pPr>
        <w:pStyle w:val="Heading1"/>
        <w:spacing w:after="160" w:before="360"/>
      </w:pPr>
      <w:r>
        <w:rPr>
          <w:rFonts w:ascii="Calibri" w:cs="Calibri" w:eastAsia="Calibri" w:hAnsi="Calibri"/>
          <w:b/>
          <w:bCs/>
          <w:color w:val="262828"/>
          <w:sz w:val="30"/>
          <w:szCs w:val="30"/>
        </w:rPr>
        <w:t xml:space="preserve">Annexe A. Trois exigences qui se retournent contre l'acheteur</w:t>
      </w:r>
    </w:p>
    <w:p>
      <w:pPr>
        <w:spacing w:after="120" w:line="276"/>
      </w:pPr>
      <w:r>
        <w:rPr>
          <w:rFonts w:ascii="Calibri" w:cs="Calibri" w:eastAsia="Calibri" w:hAnsi="Calibri"/>
          <w:color w:val="262828"/>
          <w:sz w:val="21"/>
          <w:szCs w:val="21"/>
        </w:rPr>
        <w:t xml:space="preserve">Ces trois demandes reviennent régulièrement dans les consultations. Elles produisent des offres non conformes, ou des engagements qui ne seront pas tenus.</w:t>
      </w:r>
    </w:p>
    <w:p>
      <w:pPr>
        <w:pStyle w:val="Heading2"/>
        <w:spacing w:after="120" w:before="260"/>
      </w:pPr>
      <w:r>
        <w:rPr>
          <w:rFonts w:ascii="Calibri" w:cs="Calibri" w:eastAsia="Calibri" w:hAnsi="Calibri"/>
          <w:b/>
          <w:bCs/>
          <w:color w:val="115CFA"/>
          <w:sz w:val="24"/>
          <w:szCs w:val="24"/>
        </w:rPr>
        <w:t xml:space="preserve">Le contrôle de l'ordre des cotes à l'intérieur d'une tablette</w:t>
      </w:r>
    </w:p>
    <w:p>
      <w:pPr>
        <w:spacing w:after="120" w:line="276"/>
      </w:pPr>
      <w:r>
        <w:rPr>
          <w:rFonts w:ascii="Calibri" w:cs="Calibri" w:eastAsia="Calibri" w:hAnsi="Calibri"/>
          <w:color w:val="262828"/>
          <w:sz w:val="21"/>
          <w:szCs w:val="21"/>
        </w:rPr>
        <w:t xml:space="preserve">Demander qu'un lecteur portable vérifie que les documents sont rangés dans le bon ordre au centimètre près. La localisation fine d'une étiquette haute fréquence n'est pas fiable à cette échelle, et aucun fabricant ne sait le faire de façon industrielle aujourd'hui.</w:t>
      </w:r>
    </w:p>
    <w:p>
      <w:pPr>
        <w:spacing w:after="120" w:line="276"/>
      </w:pPr>
      <w:r>
        <w:rPr>
          <w:rFonts w:ascii="Calibri" w:cs="Calibri" w:eastAsia="Calibri" w:hAnsi="Calibri"/>
          <w:b/>
          <w:bCs/>
          <w:color w:val="262828"/>
          <w:sz w:val="21"/>
          <w:szCs w:val="21"/>
        </w:rPr>
        <w:t xml:space="preserve">À écrire plutôt : la détection des documents mal rangés par section ou par tablette, qui est faisable et déjà très utile.</w:t>
      </w:r>
    </w:p>
    <w:p>
      <w:pPr>
        <w:pStyle w:val="Heading2"/>
        <w:spacing w:after="120" w:before="260"/>
      </w:pPr>
      <w:r>
        <w:rPr>
          <w:rFonts w:ascii="Calibri" w:cs="Calibri" w:eastAsia="Calibri" w:hAnsi="Calibri"/>
          <w:b/>
          <w:bCs/>
          <w:color w:val="115CFA"/>
          <w:sz w:val="24"/>
          <w:szCs w:val="24"/>
        </w:rPr>
        <w:t xml:space="preserve">Une logique de tri à opérateurs booléens complexes</w:t>
      </w:r>
    </w:p>
    <w:p>
      <w:pPr>
        <w:spacing w:after="120" w:line="276"/>
      </w:pPr>
      <w:r>
        <w:rPr>
          <w:rFonts w:ascii="Calibri" w:cs="Calibri" w:eastAsia="Calibri" w:hAnsi="Calibri"/>
          <w:color w:val="262828"/>
          <w:sz w:val="21"/>
          <w:szCs w:val="21"/>
        </w:rPr>
        <w:t xml:space="preserve">Combiner trois critères avec des opérateurs ET, OU et NON, assortis de conditions sur des champs de circulation. Le tri par destination simple est standard chez tous les fabricants, la logique avancée ne l'est nativement chez aucun.</w:t>
      </w:r>
    </w:p>
    <w:p>
      <w:pPr>
        <w:spacing w:after="120" w:line="276"/>
      </w:pPr>
      <w:r>
        <w:rPr>
          <w:rFonts w:ascii="Calibri" w:cs="Calibri" w:eastAsia="Calibri" w:hAnsi="Calibri"/>
          <w:b/>
          <w:bCs/>
          <w:color w:val="262828"/>
          <w:sz w:val="21"/>
          <w:szCs w:val="21"/>
        </w:rPr>
        <w:t xml:space="preserve">À écrire plutôt : si ce besoin est réel, décrivez les cas de tri attendus et exigez une démonstration pendant l'analyse des offres, pas une déclaration de conformité.</w:t>
      </w:r>
    </w:p>
    <w:p>
      <w:pPr>
        <w:pStyle w:val="Heading2"/>
        <w:spacing w:after="120" w:before="260"/>
      </w:pPr>
      <w:r>
        <w:rPr>
          <w:rFonts w:ascii="Calibri" w:cs="Calibri" w:eastAsia="Calibri" w:hAnsi="Calibri"/>
          <w:b/>
          <w:bCs/>
          <w:color w:val="115CFA"/>
          <w:sz w:val="24"/>
          <w:szCs w:val="24"/>
        </w:rPr>
        <w:t xml:space="preserve">Un modèle de bac imposé sans vérification préalable</w:t>
      </w:r>
    </w:p>
    <w:p>
      <w:pPr>
        <w:spacing w:after="120" w:line="276"/>
      </w:pPr>
      <w:r>
        <w:rPr>
          <w:rFonts w:ascii="Calibri" w:cs="Calibri" w:eastAsia="Calibri" w:hAnsi="Calibri"/>
          <w:color w:val="262828"/>
          <w:sz w:val="21"/>
          <w:szCs w:val="21"/>
        </w:rPr>
        <w:t xml:space="preserve">Exiger la compatibilité de la chaîne de tri avec un parc de bacs existant, sans l'avoir fait vérifier. C'est le point le plus fréquemment disqualifiant, et il se règle en amont par un échange technique de quelques minutes.</w:t>
      </w:r>
    </w:p>
    <w:p>
      <w:pPr>
        <w:spacing w:after="120" w:line="276"/>
      </w:pPr>
      <w:r>
        <w:rPr>
          <w:rFonts w:ascii="Calibri" w:cs="Calibri" w:eastAsia="Calibri" w:hAnsi="Calibri"/>
          <w:b/>
          <w:bCs/>
          <w:color w:val="262828"/>
          <w:sz w:val="21"/>
          <w:szCs w:val="21"/>
        </w:rPr>
        <w:t xml:space="preserve">À faire plutôt : faites vérifier la compatibilité avant publication, et mentionnez le résultat dans le CCTP.</w:t>
      </w:r>
    </w:p>
    <w:p>
      <w:pPr>
        <w:pStyle w:val="Heading1"/>
        <w:spacing w:after="160" w:before="360"/>
      </w:pPr>
      <w:r>
        <w:rPr>
          <w:rFonts w:ascii="Calibri" w:cs="Calibri" w:eastAsia="Calibri" w:hAnsi="Calibri"/>
          <w:b/>
          <w:bCs/>
          <w:color w:val="262828"/>
          <w:sz w:val="30"/>
          <w:szCs w:val="30"/>
        </w:rPr>
        <w:t xml:space="preserve">Annexe B. Grille d'analyse des offres</w:t>
      </w:r>
    </w:p>
    <w:p>
      <w:pPr>
        <w:spacing w:after="120" w:line="276"/>
      </w:pPr>
      <w:r>
        <w:rPr>
          <w:rFonts w:ascii="Calibri" w:cs="Calibri" w:eastAsia="Calibri" w:hAnsi="Calibri"/>
          <w:color w:val="262828"/>
          <w:sz w:val="21"/>
          <w:szCs w:val="21"/>
        </w:rPr>
        <w:t xml:space="preserve">Pondération indicative, à adapter. Elle a le mérite de donner du poids à ce qui se vérifie et de limiter l'effet d'un prix bas sur un dimensionnement insuffisant.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1500"/>
        <w:gridCol w:w="5500"/>
      </w:tblGrid>
      <w:tr>
        <w:trPr>
          <w:tblHeader/>
        </w:trPr>
        <w:tc>
          <w:tcPr>
            <w:tcW w:type="dxa" w:w="2400"/>
            <w:shd w:fill="EEF3FE" w:color="auto" w:val="clear"/>
            <w:tcMar>
              <w:top w:type="dxa" w:w="90"/>
              <w:left w:type="dxa" w:w="120"/>
              <w:bottom w:type="dxa" w:w="90"/>
              <w:right w:type="dxa" w:w="120"/>
            </w:tcMar>
          </w:tcPr>
          <w:p>
            <w:pPr>
              <w:spacing w:after="0"/>
            </w:pPr>
            <w:r>
              <w:rPr>
                <w:rFonts w:ascii="Calibri" w:cs="Calibri" w:eastAsia="Calibri" w:hAnsi="Calibri"/>
                <w:b/>
                <w:bCs/>
                <w:color w:val="262828"/>
                <w:sz w:val="19"/>
                <w:szCs w:val="19"/>
              </w:rPr>
              <w:t xml:space="preserve">Critère</w:t>
            </w:r>
          </w:p>
        </w:tc>
        <w:tc>
          <w:tcPr>
            <w:tcW w:type="dxa" w:w="1500"/>
            <w:shd w:fill="EEF3FE" w:color="auto" w:val="clear"/>
            <w:tcMar>
              <w:top w:type="dxa" w:w="90"/>
              <w:left w:type="dxa" w:w="120"/>
              <w:bottom w:type="dxa" w:w="90"/>
              <w:right w:type="dxa" w:w="120"/>
            </w:tcMar>
          </w:tcPr>
          <w:p>
            <w:pPr>
              <w:spacing w:after="0"/>
            </w:pPr>
            <w:r>
              <w:rPr>
                <w:rFonts w:ascii="Calibri" w:cs="Calibri" w:eastAsia="Calibri" w:hAnsi="Calibri"/>
                <w:b/>
                <w:bCs/>
                <w:color w:val="262828"/>
                <w:sz w:val="19"/>
                <w:szCs w:val="19"/>
              </w:rPr>
              <w:t xml:space="preserve">Pondération</w:t>
            </w:r>
          </w:p>
        </w:tc>
        <w:tc>
          <w:tcPr>
            <w:tcW w:type="dxa" w:w="5500"/>
            <w:shd w:fill="EEF3FE" w:color="auto" w:val="clear"/>
            <w:tcMar>
              <w:top w:type="dxa" w:w="90"/>
              <w:left w:type="dxa" w:w="120"/>
              <w:bottom w:type="dxa" w:w="90"/>
              <w:right w:type="dxa" w:w="120"/>
            </w:tcMar>
          </w:tcPr>
          <w:p>
            <w:pPr>
              <w:spacing w:after="0"/>
            </w:pPr>
            <w:r>
              <w:rPr>
                <w:rFonts w:ascii="Calibri" w:cs="Calibri" w:eastAsia="Calibri" w:hAnsi="Calibri"/>
                <w:b/>
                <w:bCs/>
                <w:color w:val="262828"/>
                <w:sz w:val="19"/>
                <w:szCs w:val="19"/>
              </w:rPr>
              <w:t xml:space="preserve">Ce que l'on vérifie</w:t>
            </w:r>
          </w:p>
        </w:tc>
      </w:tr>
      <w:tr>
        <w:trPr>
          <w:tblHeader w:val="false"/>
        </w:trPr>
        <w:tc>
          <w:tcPr>
            <w:tcW w:type="dxa" w:w="2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w:t>
            </w:r>
          </w:p>
        </w:tc>
        <w:tc>
          <w:tcPr>
            <w:tcW w:type="dxa" w:w="15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[40] %</w:t>
            </w:r>
          </w:p>
        </w:tc>
        <w:tc>
          <w:tcPr>
            <w:tcW w:type="dxa" w:w="55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Prix global et cohérence du bordereau</w:t>
            </w:r>
          </w:p>
        </w:tc>
      </w:tr>
      <w:tr>
        <w:trPr>
          <w:tblHeader w:val="false"/>
        </w:trPr>
        <w:tc>
          <w:tcPr>
            <w:tcW w:type="dxa" w:w="2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Valeur technique</w:t>
            </w:r>
          </w:p>
        </w:tc>
        <w:tc>
          <w:tcPr>
            <w:tcW w:type="dxa" w:w="15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[40] %</w:t>
            </w:r>
          </w:p>
        </w:tc>
        <w:tc>
          <w:tcPr>
            <w:tcW w:type="dxa" w:w="55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Dimensionnement justifié, plan d'implantation, taux de lecture, cadence, conformité aux normes citées</w:t>
            </w:r>
          </w:p>
        </w:tc>
      </w:tr>
      <w:tr>
        <w:trPr>
          <w:tblHeader w:val="false"/>
        </w:trPr>
        <w:tc>
          <w:tcPr>
            <w:tcW w:type="dxa" w:w="2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Interfaçage</w:t>
            </w:r>
          </w:p>
        </w:tc>
        <w:tc>
          <w:tcPr>
            <w:tcW w:type="dxa" w:w="15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[10] %</w:t>
            </w:r>
          </w:p>
        </w:tc>
        <w:tc>
          <w:tcPr>
            <w:tcW w:type="dxa" w:w="55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Protocole décrit, référence d'établissement comparable, coût d'activation annoncé</w:t>
            </w:r>
          </w:p>
        </w:tc>
      </w:tr>
      <w:tr>
        <w:trPr>
          <w:tblHeader w:val="false"/>
        </w:trPr>
        <w:tc>
          <w:tcPr>
            <w:tcW w:type="dxa" w:w="24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Service</w:t>
            </w:r>
          </w:p>
        </w:tc>
        <w:tc>
          <w:tcPr>
            <w:tcW w:type="dxa" w:w="15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[10] %</w:t>
            </w:r>
          </w:p>
        </w:tc>
        <w:tc>
          <w:tcPr>
            <w:tcW w:type="dxa" w:w="5500"/>
            <w:tcMar>
              <w:top w:type="dxa" w:w="90"/>
              <w:left w:type="dxa" w:w="120"/>
              <w:bottom w:type="dxa" w:w="90"/>
              <w:right w:type="dxa" w:w="120"/>
            </w:tcMar>
          </w:tcPr>
          <w:p>
            <w:pPr>
              <w:spacing w:after="0"/>
            </w:pPr>
            <w:r>
              <w:rPr>
                <w:rFonts w:ascii="Calibri" w:cs="Calibri" w:eastAsia="Calibri" w:hAnsi="Calibri"/>
                <w:b w:val="false"/>
                <w:bCs w:val="false"/>
                <w:color w:val="262828"/>
                <w:sz w:val="19"/>
                <w:szCs w:val="19"/>
              </w:rPr>
              <w:t xml:space="preserve">Délais d'intervention, formation, réversibilité, engagement d'obsolescence</w:t>
            </w:r>
          </w:p>
        </w:tc>
      </w:tr>
    </w:tbl>
    <w:p>
      <w:pPr>
        <w:spacing w:after="300" w:line="276"/>
      </w:pPr>
      <w:r>
        <w:rPr>
          <w:rFonts w:ascii="Calibri" w:cs="Calibri" w:eastAsia="Calibri" w:hAnsi="Calibri"/>
          <w:color w:val="262828"/>
          <w:sz w:val="21"/>
          <w:szCs w:val="21"/>
        </w:rPr>
        <w:t xml:space="preserve"/>
      </w:r>
    </w:p>
    <w:p>
      <w:pPr>
        <w:pStyle w:val="Heading1"/>
        <w:spacing w:after="160" w:before="360"/>
      </w:pPr>
      <w:r>
        <w:rPr>
          <w:rFonts w:ascii="Calibri" w:cs="Calibri" w:eastAsia="Calibri" w:hAnsi="Calibri"/>
          <w:b/>
          <w:bCs/>
          <w:color w:val="262828"/>
          <w:sz w:val="30"/>
          <w:szCs w:val="30"/>
        </w:rPr>
        <w:t xml:space="preserve">Pour aller plus loin</w:t>
      </w:r>
    </w:p>
    <w:p>
      <w:pPr>
        <w:spacing w:after="120" w:line="276"/>
      </w:pPr>
      <w:r>
        <w:rPr>
          <w:rFonts w:ascii="Calibri" w:cs="Calibri" w:eastAsia="Calibri" w:hAnsi="Calibri"/>
          <w:color w:val="262828"/>
          <w:sz w:val="21"/>
          <w:szCs w:val="21"/>
        </w:rPr>
        <w:t xml:space="preserve">Les pages qui détaillent chacun de ces points, avec les valeurs constructeur et les normes citées, sont publiées sur bibliotheque-rfid.com. Le simulateur de retour sur investissement vous aidera à calibrer les quantités avant de rédiger.</w:t>
      </w:r>
    </w:p>
    <w:p>
      <w:pPr>
        <w:spacing w:after="300" w:line="276"/>
      </w:pPr>
      <w:r>
        <w:rPr>
          <w:rFonts w:ascii="Calibri" w:cs="Calibri" w:eastAsia="Calibri" w:hAnsi="Calibri"/>
          <w:color w:val="262828"/>
          <w:sz w:val="21"/>
          <w:szCs w:val="21"/>
        </w:rPr>
        <w:t xml:space="preserve">Si vous rédigez en ce moment et qu'un point vous bloque, appelez le 04 73 26 95 16. Nous répondons sur votre configuration, et nous vous dirons aussi quand la réponse est non.</w:t>
      </w:r>
    </w:p>
    <w:p>
      <w:pPr>
        <w:spacing w:after="120" w:line="276"/>
      </w:pPr>
      <w:r>
        <w:rPr>
          <w:rFonts w:ascii="Calibri" w:cs="Calibri" w:eastAsia="Calibri" w:hAnsi="Calibri"/>
          <w:i/>
          <w:iCs/>
          <w:color w:val="707171"/>
          <w:sz w:val="18"/>
          <w:szCs w:val="18"/>
        </w:rPr>
        <w:t xml:space="preserve">Document publié par bibliotheque-rfid.com, opéré par CIPAM. Il est libre de reprise et d'adaptation pour vos consultations. Il ne constitue ni un conseil juridique, ni un document contractuel.</w:t>
      </w:r>
    </w:p>
    <w:sectPr>
      <w:headerReference w:type="default" r:id="rId7"/>
      <w:footerReference w:type="default" r:id="rId8"/>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07171"/>
        <w:sz w:val="16"/>
        <w:szCs w:val="16"/>
      </w:rPr>
      <w:t xml:space="preserve">bibliotheque-rfid.com, opéré par CIPAM, 04 73 26 95 16  </w:t>
    </w:r>
    <w:r>
      <w:rPr>
        <w:rFonts w:ascii="Calibri" w:cs="Calibri" w:eastAsia="Calibri" w:hAnsi="Calibri"/>
        <w:color w:val="707171"/>
        <w:sz w:val="16"/>
        <w:szCs w:val="16"/>
      </w:rPr>
      <w:t xml:space="preserve">page </w:t>
      <w:fldChar w:fldCharType="begin"/>
      <w:instrText xml:space="preserve">PAGE</w:instrText>
      <w:fldChar w:fldCharType="separate"/>
      <w:fldChar w:fldCharType="end"/>
      <w:t xml:space="preserve"> sur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707171"/>
        <w:sz w:val="16"/>
        <w:szCs w:val="16"/>
      </w:rPr>
      <w:t xml:space="preserve">Trame de CCTP, équipement RFID de bibliothèque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282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Trame de CCTP, équipement RFID de bibliothèque</dc:title>
  <dc:creator>CIPAM, bibliotheque-rfid.com</dc:creator>
  <dc:description>Trame de cahier des clauses techniques particulières pour un marché d'équipement RFID de bibliothèque.</dc:description>
  <cp:lastModifiedBy>Un-named</cp:lastModifiedBy>
  <cp:revision>1</cp:revision>
  <dcterms:created xsi:type="dcterms:W3CDTF">2026-09-22T08:10:10.000Z</dcterms:created>
  <dcterms:modified xsi:type="dcterms:W3CDTF">2026-09-22T08:10:10.010Z</dcterms:modified>
</cp:coreProperties>
</file>

<file path=docProps/custom.xml><?xml version="1.0" encoding="utf-8"?>
<Properties xmlns="http://schemas.openxmlformats.org/officeDocument/2006/custom-properties" xmlns:vt="http://schemas.openxmlformats.org/officeDocument/2006/docPropsVTypes"/>
</file>